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D200B">
      <w:pPr>
        <w:spacing w:after="0" w:line="500" w:lineRule="exact"/>
        <w:jc w:val="both"/>
        <w:rPr>
          <w:rFonts w:hint="eastAsia" w:ascii="仿宋" w:hAnsi="仿宋" w:eastAsia="仿宋"/>
          <w:sz w:val="30"/>
          <w:szCs w:val="30"/>
        </w:rPr>
      </w:pPr>
      <w:r>
        <w:rPr>
          <w:rFonts w:hint="eastAsia" w:ascii="仿宋" w:hAnsi="仿宋" w:eastAsia="仿宋"/>
          <w:sz w:val="30"/>
          <w:szCs w:val="30"/>
        </w:rPr>
        <w:t xml:space="preserve">附件1： </w:t>
      </w:r>
    </w:p>
    <w:p w14:paraId="745BF2BB">
      <w:pPr>
        <w:spacing w:after="0" w:line="500" w:lineRule="exact"/>
        <w:jc w:val="both"/>
        <w:rPr>
          <w:rFonts w:hint="eastAsia" w:ascii="仿宋" w:hAnsi="仿宋" w:eastAsia="仿宋"/>
          <w:sz w:val="30"/>
          <w:szCs w:val="30"/>
        </w:rPr>
      </w:pPr>
    </w:p>
    <w:p w14:paraId="38131EDD">
      <w:pPr>
        <w:spacing w:after="0" w:line="500" w:lineRule="exact"/>
        <w:jc w:val="center"/>
        <w:rPr>
          <w:rFonts w:hint="eastAsia" w:ascii="黑体" w:hAnsi="黑体" w:eastAsia="黑体"/>
          <w:sz w:val="36"/>
          <w:szCs w:val="36"/>
        </w:rPr>
      </w:pPr>
      <w:bookmarkStart w:id="0" w:name="_GoBack"/>
      <w:r>
        <w:rPr>
          <w:rFonts w:hint="eastAsia" w:ascii="黑体" w:hAnsi="黑体" w:eastAsia="黑体"/>
          <w:sz w:val="36"/>
          <w:szCs w:val="36"/>
        </w:rPr>
        <w:t>跆拳道项目临场裁判员选派与监督办法</w:t>
      </w:r>
    </w:p>
    <w:bookmarkEnd w:id="0"/>
    <w:p w14:paraId="5093C818">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为确保上海市青少年跆拳道比赛公平、公正、公开、文明、和谐举办，依据上海市体育局相关的文件精神，结合本市青少年跆拳道竞赛工作实际情况，制定本办法。</w:t>
      </w:r>
    </w:p>
    <w:p w14:paraId="50702951">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第一条 临场执裁工作包括临场裁判员选派、纠错、处罚等工作。</w:t>
      </w:r>
    </w:p>
    <w:p w14:paraId="79EDF824">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第二条 临场裁判员选派按照回避原则，采用抽签的方法选派上场，抽签过程全程录像。</w:t>
      </w:r>
    </w:p>
    <w:p w14:paraId="3955769D">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第三条 回避原则是指与参加该场比赛的运动队有直接或间接关系的裁判员回避上场，包括地域回避、亲属回避。</w:t>
      </w:r>
    </w:p>
    <w:p w14:paraId="1EB4307E">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(一)正式选派的裁判员需要主动向上海市跆拳道协会申报回避单位；</w:t>
      </w:r>
    </w:p>
    <w:p w14:paraId="01B501E2">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(二)上海市跆拳道协会负责审核裁判员申报回避单位名单，根据上场运动员实际情况，确认临场回避裁判员名单和单位，报竞委会备案。</w:t>
      </w:r>
    </w:p>
    <w:p w14:paraId="1815DFBF">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第四条 临场裁判员抽签办法</w:t>
      </w:r>
    </w:p>
    <w:p w14:paraId="1A354F0D">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临场裁判员采用乒乓球随机抽签的方法选派上场人员。</w:t>
      </w:r>
    </w:p>
    <w:p w14:paraId="0A2653B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(一)对所有参加执裁工作的裁判员进行编号管理；</w:t>
      </w:r>
    </w:p>
    <w:p w14:paraId="7B66F4A3">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(二)比赛场馆设立公开独立的裁判员抽签处；</w:t>
      </w:r>
    </w:p>
    <w:p w14:paraId="37C40AE6">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(三)双方或一方教练员在抽签时间未到达抽签处进行抽签将视为放弃抽签权，由志愿者在竞赛监督委员组监督下进行代抽，竞赛监督委员签字确认。</w:t>
      </w:r>
    </w:p>
    <w:p w14:paraId="76E2F2C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四)在抽签过程中，双方教练员均有一次更换裁判员的权利，一方教练员可更换本方抽出的裁判员，也可以更换对方抽出的裁判员。双方教练如有一方需更换裁判员，须在下一位裁判员抽出之前予以更换，一旦双方确认，将不予更换；双方教练如同时更换同一位裁判员，则视为权利行使完毕；</w:t>
      </w:r>
    </w:p>
    <w:p w14:paraId="7B893C65">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(五)竞赛监督委员监督抽签工作，对抽签结果负责，并接受运动队和赛风赛纪监督组的监督；</w:t>
      </w:r>
    </w:p>
    <w:p w14:paraId="5ADEE933">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(六)临场裁判员名单产生后需经过技术代表、裁判长审核签字确认后方可选派。技术代表、裁判长、竞赛监督委员、裁判员不得以任何形式向他人传递临场裁判员信息。</w:t>
      </w:r>
    </w:p>
    <w:p w14:paraId="34A522C5">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(七)半决赛、铜牌赛、决赛的临场裁判员选派资格，由技术代表、裁判长根据当天裁判员执裁表现和技术水平，共同确定裁判员资格号码后，进行临场裁判员抽签，并对名单负责。</w:t>
      </w:r>
    </w:p>
    <w:p w14:paraId="3E339FDB">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第五条 抽签工作流程</w:t>
      </w:r>
    </w:p>
    <w:p w14:paraId="5D88688D">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(一)志愿者在竞赛监督委员监督下对参赛双方运动队的回避裁判员号码进行核对并去除；若抽取到回避代表单位裁判员号码将视为无效，重新抽取该位置号码；</w:t>
      </w:r>
    </w:p>
    <w:p w14:paraId="551FDAD0">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(二)参赛双方教练员按照先青方后红方的顺序依次抽取录像审议委员主审号码、副审号码、临场主裁号码、边裁号码、技术助理(TA)号码。由志愿者将技术官员号码、名字写在选派单上。</w:t>
      </w:r>
    </w:p>
    <w:p w14:paraId="421A457D">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(三)双方教练员签字确认，监督抽签的竞赛监督委员签字确认，该场次裁判员抽签结束。</w:t>
      </w:r>
    </w:p>
    <w:p w14:paraId="04E8A3C8">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第六条 纠错机制</w:t>
      </w:r>
    </w:p>
    <w:p w14:paraId="6BDFDB30">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为避免重大赛风赛纪发生，根据上海市体育局有关要求，确保上海市跆拳道裁判员公平公正执裁，建立纠错机制，“及时发现、及时叫停、及时纠正、及时处理”，避免出现重大错判、误判。</w:t>
      </w:r>
    </w:p>
    <w:p w14:paraId="05E8AEBC">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第七条 裁判员监督处罚</w:t>
      </w:r>
    </w:p>
    <w:p w14:paraId="4A842429">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技术代表、裁判长、竞赛监督委员负责临场裁判员的工作的监督评估。</w:t>
      </w:r>
    </w:p>
    <w:p w14:paraId="4A6C05C5">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临场裁判员出现以下问题时，给予相应的处罚:</w:t>
      </w:r>
    </w:p>
    <w:p w14:paraId="2D263E58">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(一)身份识别、计算错误等造成反判；执法不当，造成伤害事故和有严重不良行为，造成恶劣影响。</w:t>
      </w:r>
    </w:p>
    <w:p w14:paraId="2F327F66">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(二)记分出现明显错误，多次出现漏记分、记反分、记错分等明显偏向一方的行为，造成恶劣影响。</w:t>
      </w:r>
    </w:p>
    <w:p w14:paraId="3F4E4632">
      <w:pPr>
        <w:spacing w:after="0" w:line="500" w:lineRule="exact"/>
        <w:ind w:firstLine="600" w:firstLineChars="200"/>
        <w:jc w:val="both"/>
        <w:rPr>
          <w:rFonts w:hint="eastAsia" w:ascii="仿宋" w:hAnsi="仿宋" w:eastAsia="仿宋"/>
          <w:sz w:val="30"/>
          <w:szCs w:val="30"/>
        </w:rPr>
      </w:pPr>
      <w:r>
        <w:rPr>
          <w:rFonts w:hint="eastAsia" w:ascii="仿宋" w:hAnsi="仿宋" w:eastAsia="仿宋"/>
          <w:sz w:val="30"/>
          <w:szCs w:val="30"/>
        </w:rPr>
        <w:t>(三)主裁判判罚不当，明显偏向一方，造成比赛结果不公或引发恶劣影响。</w:t>
      </w:r>
    </w:p>
    <w:p w14:paraId="6C309212">
      <w:r>
        <w:rPr>
          <w:rFonts w:hint="eastAsia" w:ascii="仿宋" w:hAnsi="仿宋" w:eastAsia="仿宋"/>
          <w:sz w:val="30"/>
          <w:szCs w:val="30"/>
        </w:rPr>
        <w:t>对于上述行为或其他裁判员不当行为的，将根据裁判员纪律规定给予处罚，同类错误按较重的给予处罚。</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8F44C7"/>
    <w:rsid w:val="2D8F4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2026-07-23T06:15:00Z</dcterms:created>
  <dc:creator>一世繁华如烟云</dc:creator>
  <cp:lastModifiedBy>一世繁华如烟云</cp:lastModifiedBy>
  <dcterms:modified xsi:type="dcterms:W3CDTF">2026-07-23T06:16:43Z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C0270530D2AA4D949F1A33E1ED9D90F1_11</vt:lpwstr>
  </property>
  <property fmtid="{D5CDD505-2E9C-101B-9397-08002B2CF9AE}" pid="4" name="KSOTemplateDocerSaveRecord">
    <vt:lpwstr>eyJoZGlkIjoiYmYyN2U1M2E1ODI2NjIyMzkwMjE4ZDU2NDQwYTRlZWQiLCJ1c2VySWQiOiIyNTc2NTk2NzUifQ==</vt:lpwstr>
  </property>
</Properties>
</file>